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C2" w:rsidRDefault="00F225C2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a0"/>
        <w:tblW w:w="10596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210"/>
        <w:gridCol w:w="1875"/>
        <w:gridCol w:w="3891"/>
      </w:tblGrid>
      <w:tr w:rsidR="00F225C2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left="100"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40"/>
                <w:szCs w:val="40"/>
              </w:rPr>
              <w:t>NÅR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left="100"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40"/>
                <w:szCs w:val="40"/>
              </w:rPr>
              <w:t>HVA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left="100"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40"/>
                <w:szCs w:val="40"/>
              </w:rPr>
              <w:t>HVEM</w:t>
            </w:r>
          </w:p>
        </w:tc>
        <w:tc>
          <w:tcPr>
            <w:tcW w:w="3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left="100"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40"/>
                <w:szCs w:val="40"/>
              </w:rPr>
              <w:t>HVORDAN?</w:t>
            </w:r>
          </w:p>
        </w:tc>
      </w:tr>
      <w:tr w:rsidR="00F225C2">
        <w:trPr>
          <w:trHeight w:val="440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0A40C3">
            <w:pPr>
              <w:widowControl w:val="0"/>
              <w:ind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Etter skolestart</w:t>
            </w:r>
          </w:p>
          <w:p w:rsidR="00F225C2" w:rsidRDefault="000A40C3">
            <w:pPr>
              <w:widowControl w:val="0"/>
              <w:ind w:left="100"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 xml:space="preserve"> </w:t>
            </w:r>
          </w:p>
          <w:p w:rsidR="00F225C2" w:rsidRDefault="000A40C3">
            <w:pPr>
              <w:widowControl w:val="0"/>
              <w:ind w:left="100"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 xml:space="preserve"> </w:t>
            </w:r>
          </w:p>
          <w:p w:rsidR="00F225C2" w:rsidRDefault="000A40C3">
            <w:pPr>
              <w:widowControl w:val="0"/>
              <w:ind w:left="100" w:right="100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1"/>
              </w:numPr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Fordel ansvarsområder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Hele SK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Leder, økonomiansvarlig, informasjonsansvarlig, internasjonal uke ansvarlig, OD-dag ansvarlig, jobb-ansvarlig </w:t>
            </w:r>
          </w:p>
        </w:tc>
      </w:tr>
      <w:tr w:rsidR="00F225C2" w:rsidTr="000F58BC">
        <w:trPr>
          <w:trHeight w:val="1315"/>
        </w:trPr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3"/>
              </w:numPr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Snakk med ledels</w:t>
            </w:r>
            <w:bookmarkStart w:id="0" w:name="_GoBack"/>
            <w:bookmarkEnd w:id="0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en og be dem sette av tid til Internasjonal Uke (mellom 14.-25. Oktober)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Informasjons</w:t>
            </w:r>
          </w:p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-ansvarlig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Be lærerne og ledelsen fastsette datoer dere kan bruke til Internasjonal Uke slik at dere kan starte planleggingen. Tips! legg gjerne et skriv i lærernes posthylle og informer om årets OD!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7"/>
              </w:numPr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Logg inn på skolesiden og bli kjent med den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IU-ansvarlig og Økono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mi-</w:t>
            </w:r>
          </w:p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ansvarlig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Gå inn på </w:t>
            </w:r>
            <w:hyperlink r:id="rId8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od.no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, og logg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inn (øverst i høyre hjørne) med skolens navn og passord som er tilsendt på mail. </w:t>
            </w:r>
          </w:p>
        </w:tc>
      </w:tr>
      <w:tr w:rsidR="00F225C2" w:rsidTr="000F58BC">
        <w:trPr>
          <w:trHeight w:val="1619"/>
        </w:trPr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9"/>
              </w:numPr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Ta kontakt med din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distriktskomité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og informer om at dere har laget en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skolekomitè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og hvem dere er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Leder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På skolesiden kan du se hvem som er din ansvarsperson i OD og kontaktinformasjon. </w:t>
            </w:r>
          </w:p>
        </w:tc>
      </w:tr>
      <w:tr w:rsidR="00F225C2" w:rsidTr="000F58BC">
        <w:trPr>
          <w:trHeight w:val="81"/>
        </w:trPr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21"/>
              </w:numPr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Delta på skolekomité-seminaret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Hele SK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8BC" w:rsidRDefault="000A40C3">
            <w:pPr>
              <w:widowControl w:val="0"/>
              <w:ind w:right="10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Det vil bli sendt ut invitasjoner med link til påmeldingsskjema på mail til skolen. Spør ledelsen eller ring DK. </w:t>
            </w:r>
          </w:p>
        </w:tc>
      </w:tr>
      <w:tr w:rsidR="00F225C2" w:rsidTr="000F58BC">
        <w:trPr>
          <w:trHeight w:val="1383"/>
        </w:trPr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Begynn å skaff jobber til de som ikke finner selv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Jobbansvarlig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Ring rundt / send mail til bedrifter o.l. og hør om de har mulighet til å ta inn elever på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OD.dagen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. Vær Arbeidsgivere kan også utlyse jobber på od.no. </w:t>
            </w:r>
          </w:p>
        </w:tc>
      </w:tr>
      <w:tr w:rsidR="00F225C2">
        <w:trPr>
          <w:trHeight w:val="440"/>
        </w:trPr>
        <w:tc>
          <w:tcPr>
            <w:tcW w:w="1620" w:type="dxa"/>
            <w:vMerge w:val="restart"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0A40C3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 xml:space="preserve">Før IU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>Søk pengestøtte fra EO-fondet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Øko-ansvarlig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Dersom dere ikke får penger av skolen kan det være lurt å søke om egne penger fra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 xml:space="preserve">elevorganisasjonen. Les mer på </w:t>
            </w:r>
            <w:hyperlink r:id="rId9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elev.no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Søk på “kategori OD”. Fristen er 1. november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Lag program til IU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IU-ansvarlig med hele SK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Gå inn på </w:t>
            </w:r>
            <w:hyperlink r:id="rId10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od.no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for forslag til program. Involver gjerne lærere på skolen. 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Bestill foredrag til IU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IU-ansvarlig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Logg inn på skolesiden og gå under “foredragsbestilling”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Hold informasjonsmøte for lærere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Info-ansvarlig med IU-ansvarlig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Be pent om å få komme på et lærermøte for å snakke om OD og opplegget rundt IU. 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Informer alle elever om at OD skjer og del ut klasselister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Info-ansvarlig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Gå rundt i klassene eller be lærerne formidle når OD-dagen er, at de må skaffe seg jobb, hvor mye de må jobbe inn. </w:t>
            </w:r>
          </w:p>
          <w:p w:rsidR="00F225C2" w:rsidRDefault="000A40C3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Del ut klasselister (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print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ut på od.no eller bruk de fra skolen) og kryss av alle som har tenkt til å jobbe på OD-dagen. 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Meld dere på IU-konkurransen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IU-ansvarlig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Dette er valgfritt, men kult å gjøre! Les mer på </w:t>
            </w:r>
            <w:hyperlink r:id="rId11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od.no</w:t>
              </w:r>
            </w:hyperlink>
          </w:p>
        </w:tc>
      </w:tr>
      <w:tr w:rsidR="00F225C2">
        <w:trPr>
          <w:trHeight w:val="440"/>
        </w:trPr>
        <w:tc>
          <w:tcPr>
            <w:tcW w:w="1620" w:type="dxa"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Under IU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Gjennomfør det planlagte programmet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Hele SK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Få hjelp av lærere til å føre fravær og holde orden</w:t>
            </w:r>
          </w:p>
        </w:tc>
      </w:tr>
      <w:tr w:rsidR="00F225C2">
        <w:trPr>
          <w:trHeight w:val="2020"/>
        </w:trPr>
        <w:tc>
          <w:tcPr>
            <w:tcW w:w="1620" w:type="dxa"/>
            <w:vMerge w:val="restart"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Etter IU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Informer om hvordan man betaler etter OD-dagen og samle inn klasselistene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Info-ansvarlig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Ta en ny inforunde og samle inn klasselistene.</w:t>
            </w:r>
          </w:p>
          <w:p w:rsidR="00F225C2" w:rsidRDefault="00F225C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F225C2" w:rsidRDefault="000A40C3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Forklar når og hvordan elevene skal betale etter OD-dagen. (spør DK dersom dere ikke vet eller se på </w:t>
            </w:r>
            <w:hyperlink r:id="rId12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od.no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) </w:t>
            </w:r>
          </w:p>
        </w:tc>
      </w:tr>
      <w:tr w:rsidR="00F225C2" w:rsidTr="000F58BC">
        <w:trPr>
          <w:trHeight w:val="1373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Planlegg program til alternativt opplegg for de som ikke vil jobbe på OD-dagen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OD-dag 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Se </w:t>
            </w:r>
            <w:hyperlink r:id="rId13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od.no</w:t>
              </w:r>
            </w:hyperlink>
          </w:p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Fokuser gjerne på internasjonalisert undervisning, og husk at det ikke skal være en straff for elevene som velger å ikke jobbe!</w:t>
            </w:r>
          </w:p>
        </w:tc>
      </w:tr>
      <w:tr w:rsidR="00F225C2" w:rsidTr="000F58BC">
        <w:trPr>
          <w:trHeight w:val="840"/>
        </w:trPr>
        <w:tc>
          <w:tcPr>
            <w:tcW w:w="1620" w:type="dxa"/>
            <w:vMerge w:val="restart"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På OD-dagen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Gjennomfør opplegg for elevene som ikke jobber på OD-dagen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OD-dag ansvarlig med hele SK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Få hjelp av lærere til å føre fravær og holde orden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Begynn innsamlingen av pengene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OD-dag ansvarlig med øko-ansvarlig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Dersom elever ønsker å betale kontant, sitt et sted på skolen på OD-dagen og ta inn pengene. Kryss av på klasselisten hvem som har betalt. Elever som har mottatt digital betaling finner dere oversikt over på skoleregnskapssiden. Kontanter skal betales inn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til OD.</w:t>
            </w: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Les mer på od.no</w:t>
            </w:r>
          </w:p>
        </w:tc>
      </w:tr>
      <w:tr w:rsidR="00F225C2">
        <w:trPr>
          <w:trHeight w:val="440"/>
        </w:trPr>
        <w:tc>
          <w:tcPr>
            <w:tcW w:w="1620" w:type="dxa"/>
            <w:vMerge w:val="restart"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Etter OD-dagen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Gjør opp regnskapet og send det inn til OD sentralt innen 1. desember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Øko-ansvarlig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Logg inn på skoleregnskapssiden på </w:t>
            </w:r>
            <w:hyperlink r:id="rId14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od.no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(skoleregnskap og klasselister inne å skolesiden) og sjekk at alle som skulle jobbe har fått betalt, og at evt. kontanter som er betalt inn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av skolen er registrert. 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Evaluer årets SK-arbeid, skriv rapport og dra på evalueringsseminar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Leder med hele SK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Snakk om hvordan gjennomføringen av IU og OD-dagen har gått. Skriv ned det som blir sagt slik at neste års SK kan bruke det. Dra på evalueringsseminar dersom det blir arrangert i ditt område.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Velg leder til neste års skolekomité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Hele SK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Velg leder slik at man raskt kan komme i gang med arbeidet videre</w:t>
            </w:r>
          </w:p>
        </w:tc>
      </w:tr>
      <w:tr w:rsidR="00F225C2">
        <w:trPr>
          <w:trHeight w:val="440"/>
        </w:trPr>
        <w:tc>
          <w:tcPr>
            <w:tcW w:w="1620" w:type="dxa"/>
            <w:vMerge w:val="restart"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</w:p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>På vårhalvåret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Gjennomfør prosjektvalg på skolen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Leder med hele SK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 januar/februar er det mulig for skolene å stemme på et prosjekt de ønsker at skal bli neste års OD-prosjekt. Les mer på </w:t>
            </w:r>
            <w:hyperlink r:id="rId15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>od.no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om hvordan man kan gjennomføre en slik avstemning. </w:t>
            </w:r>
          </w:p>
        </w:tc>
      </w:tr>
      <w:tr w:rsidR="00F225C2">
        <w:trPr>
          <w:trHeight w:val="440"/>
        </w:trPr>
        <w:tc>
          <w:tcPr>
            <w:tcW w:w="1620" w:type="dxa"/>
            <w:vMerge/>
            <w:shd w:val="clear" w:color="auto" w:fill="5B2EA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F2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Meld dere på OD 2020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Leder</w:t>
            </w:r>
          </w:p>
        </w:tc>
        <w:tc>
          <w:tcPr>
            <w:tcW w:w="3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5C2" w:rsidRDefault="000A4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Snakk med ledelsen og meld </w:t>
            </w:r>
            <w:proofErr w:type="gram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dere  på</w:t>
            </w:r>
            <w:proofErr w:type="gram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via od.no!</w:t>
            </w:r>
          </w:p>
        </w:tc>
      </w:tr>
    </w:tbl>
    <w:p w:rsidR="00F225C2" w:rsidRDefault="00F225C2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sectPr w:rsidR="00F225C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C3" w:rsidRDefault="000A40C3" w:rsidP="000F58BC">
      <w:pPr>
        <w:spacing w:line="240" w:lineRule="auto"/>
      </w:pPr>
      <w:r>
        <w:separator/>
      </w:r>
    </w:p>
  </w:endnote>
  <w:endnote w:type="continuationSeparator" w:id="0">
    <w:p w:rsidR="000A40C3" w:rsidRDefault="000A40C3" w:rsidP="000F5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C3" w:rsidRDefault="000A40C3" w:rsidP="000F58BC">
      <w:pPr>
        <w:spacing w:line="240" w:lineRule="auto"/>
      </w:pPr>
      <w:r>
        <w:separator/>
      </w:r>
    </w:p>
  </w:footnote>
  <w:footnote w:type="continuationSeparator" w:id="0">
    <w:p w:rsidR="000A40C3" w:rsidRDefault="000A40C3" w:rsidP="000F5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C8A"/>
    <w:multiLevelType w:val="multilevel"/>
    <w:tmpl w:val="EDD20F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E252D"/>
    <w:multiLevelType w:val="multilevel"/>
    <w:tmpl w:val="F15CDF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4382C"/>
    <w:multiLevelType w:val="multilevel"/>
    <w:tmpl w:val="677A54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0D3B88"/>
    <w:multiLevelType w:val="multilevel"/>
    <w:tmpl w:val="11D696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9945C4"/>
    <w:multiLevelType w:val="multilevel"/>
    <w:tmpl w:val="89086A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524298"/>
    <w:multiLevelType w:val="multilevel"/>
    <w:tmpl w:val="E8CC69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9C3EAD"/>
    <w:multiLevelType w:val="multilevel"/>
    <w:tmpl w:val="51464C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1017A7"/>
    <w:multiLevelType w:val="multilevel"/>
    <w:tmpl w:val="243C6D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A22F56"/>
    <w:multiLevelType w:val="multilevel"/>
    <w:tmpl w:val="4B5A38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FC189A"/>
    <w:multiLevelType w:val="multilevel"/>
    <w:tmpl w:val="17124F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B96D4F"/>
    <w:multiLevelType w:val="multilevel"/>
    <w:tmpl w:val="74AC51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BA148D"/>
    <w:multiLevelType w:val="multilevel"/>
    <w:tmpl w:val="3FEE23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507830"/>
    <w:multiLevelType w:val="multilevel"/>
    <w:tmpl w:val="396093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772565"/>
    <w:multiLevelType w:val="multilevel"/>
    <w:tmpl w:val="7572FB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062430"/>
    <w:multiLevelType w:val="multilevel"/>
    <w:tmpl w:val="DA2C56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6178EF"/>
    <w:multiLevelType w:val="multilevel"/>
    <w:tmpl w:val="5A0294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517497"/>
    <w:multiLevelType w:val="multilevel"/>
    <w:tmpl w:val="237477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FD367A"/>
    <w:multiLevelType w:val="multilevel"/>
    <w:tmpl w:val="30C8CB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5D5044"/>
    <w:multiLevelType w:val="multilevel"/>
    <w:tmpl w:val="014AAF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8C7703"/>
    <w:multiLevelType w:val="multilevel"/>
    <w:tmpl w:val="1DAE00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B46FBE"/>
    <w:multiLevelType w:val="multilevel"/>
    <w:tmpl w:val="47A4D4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AE6326"/>
    <w:multiLevelType w:val="multilevel"/>
    <w:tmpl w:val="D91A66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21"/>
  </w:num>
  <w:num w:numId="5">
    <w:abstractNumId w:val="12"/>
  </w:num>
  <w:num w:numId="6">
    <w:abstractNumId w:val="15"/>
  </w:num>
  <w:num w:numId="7">
    <w:abstractNumId w:val="9"/>
  </w:num>
  <w:num w:numId="8">
    <w:abstractNumId w:val="11"/>
  </w:num>
  <w:num w:numId="9">
    <w:abstractNumId w:val="0"/>
  </w:num>
  <w:num w:numId="10">
    <w:abstractNumId w:val="20"/>
  </w:num>
  <w:num w:numId="11">
    <w:abstractNumId w:val="1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5"/>
  </w:num>
  <w:num w:numId="17">
    <w:abstractNumId w:val="19"/>
  </w:num>
  <w:num w:numId="18">
    <w:abstractNumId w:val="16"/>
  </w:num>
  <w:num w:numId="19">
    <w:abstractNumId w:val="18"/>
  </w:num>
  <w:num w:numId="20">
    <w:abstractNumId w:val="6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C2"/>
    <w:rsid w:val="000A40C3"/>
    <w:rsid w:val="000F58BC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EF15"/>
  <w15:docId w15:val="{F2077B5F-0116-4DEC-A17F-B419137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0F58B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58BC"/>
  </w:style>
  <w:style w:type="paragraph" w:styleId="Bunntekst">
    <w:name w:val="footer"/>
    <w:basedOn w:val="Normal"/>
    <w:link w:val="BunntekstTegn"/>
    <w:uiPriority w:val="99"/>
    <w:unhideWhenUsed/>
    <w:rsid w:val="000F58B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koffice.od.no/noop/page.php?do=logout&amp;type=school" TargetMode="External"/><Relationship Id="rId13" Type="http://schemas.openxmlformats.org/officeDocument/2006/relationships/hyperlink" Target="https://www.od.no/gjennomforing-av-od/gjennomforing-av-iu/forslag-til-opple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d.no/gjennomforing-av-od/betaling-og-skoleregnskap/betaling-for-dagsver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d.no/gjennomforing-av-od/gjennomforing-av-iu/iu-konkurran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d.no/" TargetMode="External"/><Relationship Id="rId10" Type="http://schemas.openxmlformats.org/officeDocument/2006/relationships/hyperlink" Target="https://www.od.no/gjennomforing-av-od/gjennomforing-av-iu/forslag-til-opple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v.no/" TargetMode="External"/><Relationship Id="rId14" Type="http://schemas.openxmlformats.org/officeDocument/2006/relationships/hyperlink" Target="https://www.od.no/gjennomforing-av-od/betaling-og-skoleregnskap/hvordan-levere-skoleregnsk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hwJ0xssZwLapvFh5vnBK0z7Gg==">AMUW2mU2IEUayBrU7YFGtxMHdyU4IEMRFOagodXyZxIqXR1og5t0jh0+SM1h/aLwfWF67z2CSy3FdcHlVxTSiy8Hf33/ucr5Xd+eKMZXi288epz+M0LmWAoO/1LpMJQlVkEjd5Ya7k1u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Tone</dc:creator>
  <cp:lastModifiedBy>Tone Skaarseth</cp:lastModifiedBy>
  <cp:revision>2</cp:revision>
  <dcterms:created xsi:type="dcterms:W3CDTF">2019-09-19T13:38:00Z</dcterms:created>
  <dcterms:modified xsi:type="dcterms:W3CDTF">2019-09-19T13:38:00Z</dcterms:modified>
</cp:coreProperties>
</file>